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5C53" w14:textId="77777777" w:rsidR="002D2103" w:rsidRDefault="002D2103" w:rsidP="002D2103">
      <w:pPr>
        <w:spacing w:line="360" w:lineRule="auto"/>
        <w:jc w:val="center"/>
        <w:rPr>
          <w:rFonts w:cs="宋体"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2021</w:t>
      </w:r>
      <w:r>
        <w:rPr>
          <w:rFonts w:cs="宋体" w:hint="eastAsia"/>
          <w:b/>
          <w:sz w:val="30"/>
          <w:szCs w:val="30"/>
        </w:rPr>
        <w:t>海南</w:t>
      </w:r>
      <w:proofErr w:type="gramStart"/>
      <w:r>
        <w:rPr>
          <w:rFonts w:cs="宋体" w:hint="eastAsia"/>
          <w:b/>
          <w:sz w:val="30"/>
          <w:szCs w:val="30"/>
        </w:rPr>
        <w:t>自贸港文学</w:t>
      </w:r>
      <w:proofErr w:type="gramEnd"/>
      <w:r>
        <w:rPr>
          <w:rFonts w:cs="宋体" w:hint="eastAsia"/>
          <w:b/>
          <w:sz w:val="30"/>
          <w:szCs w:val="30"/>
        </w:rPr>
        <w:t>与文化建设研讨会</w:t>
      </w:r>
    </w:p>
    <w:p w14:paraId="15F0E426" w14:textId="77777777" w:rsidR="002D2103" w:rsidRDefault="002D2103" w:rsidP="002D2103">
      <w:pPr>
        <w:spacing w:line="360" w:lineRule="auto"/>
        <w:jc w:val="center"/>
        <w:rPr>
          <w:b/>
        </w:rPr>
      </w:pPr>
      <w:r>
        <w:rPr>
          <w:rFonts w:cs="宋体" w:hint="eastAsia"/>
          <w:b/>
          <w:sz w:val="30"/>
          <w:szCs w:val="30"/>
        </w:rPr>
        <w:t>论文规范</w:t>
      </w:r>
    </w:p>
    <w:p w14:paraId="556D535B" w14:textId="77777777" w:rsidR="002D2103" w:rsidRDefault="002D2103" w:rsidP="002D2103">
      <w:pPr>
        <w:spacing w:line="360" w:lineRule="auto"/>
        <w:jc w:val="left"/>
        <w:rPr>
          <w:rFonts w:hint="eastAsia"/>
        </w:rPr>
      </w:pPr>
    </w:p>
    <w:p w14:paraId="5E23A3D2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．文章标题宋体小三，标题下作者宋体五号，作者标脚注，介绍作者姓名、出生年、工作单位，职称学历，研究方向。</w:t>
      </w:r>
    </w:p>
    <w:p w14:paraId="1850A05C" w14:textId="77777777" w:rsidR="002D2103" w:rsidRDefault="002D2103" w:rsidP="002D2103">
      <w:pPr>
        <w:spacing w:line="360" w:lineRule="auto"/>
        <w:jc w:val="left"/>
        <w:rPr>
          <w:rStyle w:val="a"/>
        </w:rPr>
      </w:pPr>
      <w:r>
        <w:rPr>
          <w:rFonts w:hint="eastAsia"/>
        </w:rPr>
        <w:t>示例：</w:t>
      </w:r>
    </w:p>
    <w:p w14:paraId="6824A091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①作者简介：王某某（</w:t>
      </w:r>
      <w:r>
        <w:rPr>
          <w:rFonts w:hint="eastAsia"/>
        </w:rPr>
        <w:t xml:space="preserve">1981-  </w:t>
      </w:r>
      <w:r>
        <w:rPr>
          <w:rFonts w:hint="eastAsia"/>
        </w:rPr>
        <w:t>），河北邢台人，海南热带海洋学院人文社会科学学院讲师、博士。研究方向：西方文学与文论研究。</w:t>
      </w:r>
    </w:p>
    <w:p w14:paraId="6030CEE3" w14:textId="77777777" w:rsidR="002D2103" w:rsidRDefault="002D2103" w:rsidP="002D2103">
      <w:pPr>
        <w:spacing w:line="360" w:lineRule="auto"/>
        <w:jc w:val="left"/>
        <w:rPr>
          <w:rStyle w:val="a"/>
        </w:rPr>
      </w:pPr>
      <w:r>
        <w:rPr>
          <w:rFonts w:hint="eastAsia"/>
        </w:rPr>
        <w:t>2</w:t>
      </w:r>
      <w:r>
        <w:rPr>
          <w:rFonts w:hint="eastAsia"/>
        </w:rPr>
        <w:t>．摘要与关键词宋体五号。正文宋体五号。</w:t>
      </w:r>
    </w:p>
    <w:p w14:paraId="4B7DD01A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．注释号码请用阿拉伯数字标示，如①②③……。</w:t>
      </w:r>
    </w:p>
    <w:p w14:paraId="34A55607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．注释一般采用脚注，每页重新排序，格式如下：</w:t>
      </w:r>
    </w:p>
    <w:p w14:paraId="45E2298D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）专著：</w:t>
      </w:r>
    </w:p>
    <w:p w14:paraId="1060EC5A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①陈寅恪：《隋唐制度渊源论稿》，北京：中华书局，</w:t>
      </w:r>
      <w:r>
        <w:rPr>
          <w:rFonts w:hint="eastAsia"/>
        </w:rPr>
        <w:t>1986</w:t>
      </w:r>
      <w:r>
        <w:rPr>
          <w:rFonts w:hint="eastAsia"/>
        </w:rPr>
        <w:t>年，第</w:t>
      </w:r>
      <w:r>
        <w:rPr>
          <w:rFonts w:hint="eastAsia"/>
        </w:rPr>
        <w:t>79</w:t>
      </w:r>
      <w:r>
        <w:rPr>
          <w:rFonts w:hint="eastAsia"/>
        </w:rPr>
        <w:t>页。</w:t>
      </w:r>
    </w:p>
    <w:p w14:paraId="71580246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②章太炎：《齐物论释》，《章太炎全集》第</w:t>
      </w:r>
      <w:r>
        <w:rPr>
          <w:rFonts w:hint="eastAsia"/>
        </w:rPr>
        <w:t>6</w:t>
      </w:r>
      <w:r>
        <w:rPr>
          <w:rFonts w:hint="eastAsia"/>
        </w:rPr>
        <w:t>卷，上海：上海人民出版社，</w:t>
      </w:r>
      <w:r>
        <w:rPr>
          <w:rFonts w:hint="eastAsia"/>
        </w:rPr>
        <w:t>1986</w:t>
      </w:r>
      <w:r>
        <w:rPr>
          <w:rFonts w:hint="eastAsia"/>
        </w:rPr>
        <w:t>年，第</w:t>
      </w:r>
      <w:r>
        <w:rPr>
          <w:rFonts w:hint="eastAsia"/>
        </w:rPr>
        <w:t>4</w:t>
      </w:r>
      <w:r>
        <w:rPr>
          <w:rFonts w:hint="eastAsia"/>
        </w:rPr>
        <w:t>页。</w:t>
      </w:r>
    </w:p>
    <w:p w14:paraId="585C1F81" w14:textId="77777777" w:rsidR="002D2103" w:rsidRDefault="002D2103" w:rsidP="002D2103">
      <w:pPr>
        <w:spacing w:line="360" w:lineRule="auto"/>
        <w:ind w:left="1680" w:hangingChars="800" w:hanging="1680"/>
        <w:jc w:val="left"/>
        <w:rPr>
          <w:rFonts w:hint="eastAsia"/>
        </w:rPr>
      </w:pPr>
      <w:r>
        <w:rPr>
          <w:rFonts w:hint="eastAsia"/>
        </w:rPr>
        <w:t>③冯友兰：《论风流》，《三松堂学术文集》，北京：北京大学出版社，</w:t>
      </w:r>
      <w:r>
        <w:rPr>
          <w:rFonts w:hint="eastAsia"/>
        </w:rPr>
        <w:t>1984</w:t>
      </w:r>
      <w:r>
        <w:rPr>
          <w:rFonts w:hint="eastAsia"/>
        </w:rPr>
        <w:t>年，第</w:t>
      </w:r>
      <w:r>
        <w:rPr>
          <w:rFonts w:hint="eastAsia"/>
        </w:rPr>
        <w:t>60-61</w:t>
      </w:r>
      <w:r>
        <w:rPr>
          <w:rFonts w:hint="eastAsia"/>
        </w:rPr>
        <w:t>页。</w:t>
      </w:r>
    </w:p>
    <w:p w14:paraId="61317D3D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④维特根斯坦：《逻辑哲学论》，郭英译，北京：商务印书馆，</w:t>
      </w:r>
      <w:r>
        <w:rPr>
          <w:rFonts w:hint="eastAsia"/>
        </w:rPr>
        <w:t>1985</w:t>
      </w:r>
      <w:r>
        <w:rPr>
          <w:rFonts w:hint="eastAsia"/>
        </w:rPr>
        <w:t>年，第</w:t>
      </w:r>
      <w:r>
        <w:rPr>
          <w:rFonts w:hint="eastAsia"/>
        </w:rPr>
        <w:t>94</w:t>
      </w:r>
      <w:r>
        <w:rPr>
          <w:rFonts w:hint="eastAsia"/>
        </w:rPr>
        <w:t>页。</w:t>
      </w:r>
    </w:p>
    <w:p w14:paraId="429E8425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）论文：</w:t>
      </w:r>
    </w:p>
    <w:p w14:paraId="56406A5D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①胡适：《易卜生主义》，《新青年》第</w:t>
      </w:r>
      <w:r>
        <w:rPr>
          <w:rFonts w:hint="eastAsia"/>
        </w:rPr>
        <w:t>4</w:t>
      </w:r>
      <w:r>
        <w:rPr>
          <w:rFonts w:hint="eastAsia"/>
        </w:rPr>
        <w:t>卷</w:t>
      </w:r>
      <w:r>
        <w:rPr>
          <w:rFonts w:hint="eastAsia"/>
        </w:rPr>
        <w:t>6</w:t>
      </w:r>
      <w:r>
        <w:rPr>
          <w:rFonts w:hint="eastAsia"/>
        </w:rPr>
        <w:t>号，</w:t>
      </w:r>
      <w:r>
        <w:rPr>
          <w:rFonts w:hint="eastAsia"/>
        </w:rPr>
        <w:t>1918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月。</w:t>
      </w:r>
    </w:p>
    <w:p w14:paraId="003D5359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②熊十力：《中国学术思想的自立之道》，《中国文化》第</w:t>
      </w:r>
      <w:r>
        <w:rPr>
          <w:rFonts w:hint="eastAsia"/>
        </w:rPr>
        <w:t>5</w:t>
      </w:r>
      <w:r>
        <w:rPr>
          <w:rFonts w:hint="eastAsia"/>
        </w:rPr>
        <w:t>期，香港</w:t>
      </w:r>
      <w:r>
        <w:rPr>
          <w:rFonts w:hint="eastAsia"/>
        </w:rPr>
        <w:t>1991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月，第</w:t>
      </w:r>
      <w:r>
        <w:rPr>
          <w:rFonts w:hint="eastAsia"/>
        </w:rPr>
        <w:t>1-5</w:t>
      </w:r>
      <w:r>
        <w:rPr>
          <w:rFonts w:hint="eastAsia"/>
        </w:rPr>
        <w:t>页。</w:t>
      </w:r>
    </w:p>
    <w:p w14:paraId="4BB31D7A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③曾国藩：《原才》，郑振铎编《晚清文选》，上海：生活书店，</w:t>
      </w:r>
      <w:r>
        <w:rPr>
          <w:rFonts w:hint="eastAsia"/>
        </w:rPr>
        <w:t>1937</w:t>
      </w:r>
      <w:r>
        <w:rPr>
          <w:rFonts w:hint="eastAsia"/>
        </w:rPr>
        <w:t>年，第</w:t>
      </w:r>
      <w:r>
        <w:rPr>
          <w:rFonts w:hint="eastAsia"/>
        </w:rPr>
        <w:t>72</w:t>
      </w:r>
      <w:r>
        <w:rPr>
          <w:rFonts w:hint="eastAsia"/>
        </w:rPr>
        <w:t>页。</w:t>
      </w:r>
    </w:p>
    <w:p w14:paraId="317EA83D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④陈垣：《高僧传论略》，天津《大公报·文史周刊》第</w:t>
      </w:r>
      <w:r>
        <w:rPr>
          <w:rFonts w:hint="eastAsia"/>
        </w:rPr>
        <w:t>12</w:t>
      </w:r>
      <w:r>
        <w:rPr>
          <w:rFonts w:hint="eastAsia"/>
        </w:rPr>
        <w:t>期，</w:t>
      </w:r>
      <w:r>
        <w:rPr>
          <w:rFonts w:hint="eastAsia"/>
        </w:rPr>
        <w:t>1947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日。</w:t>
      </w:r>
    </w:p>
    <w:p w14:paraId="630908FF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⑤知堂（周作人）：《关于命运》，《大公报》第</w:t>
      </w:r>
      <w:r>
        <w:rPr>
          <w:rFonts w:hint="eastAsia"/>
        </w:rPr>
        <w:t>11</w:t>
      </w:r>
      <w:r>
        <w:rPr>
          <w:rFonts w:hint="eastAsia"/>
        </w:rPr>
        <w:t>版，</w:t>
      </w:r>
      <w:r>
        <w:rPr>
          <w:rFonts w:hint="eastAsia"/>
        </w:rPr>
        <w:t>1935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日。</w:t>
      </w:r>
    </w:p>
    <w:p w14:paraId="6CAAFA7F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）引用古籍：</w:t>
      </w:r>
    </w:p>
    <w:p w14:paraId="7658CE7F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①宗臣：《报李伯章》，《宗子相集》卷十四第</w:t>
      </w:r>
      <w:r>
        <w:rPr>
          <w:rFonts w:hint="eastAsia"/>
        </w:rPr>
        <w:t>68</w:t>
      </w:r>
      <w:r>
        <w:rPr>
          <w:rFonts w:hint="eastAsia"/>
        </w:rPr>
        <w:t>页下，明万历二十七年刊本。</w:t>
      </w:r>
    </w:p>
    <w:p w14:paraId="47F6E1C9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②刘知己：《史通·采撰》，浦起龙《史通通释》，上海：上海古籍出版社，</w:t>
      </w:r>
      <w:r>
        <w:rPr>
          <w:rFonts w:hint="eastAsia"/>
        </w:rPr>
        <w:t>1978</w:t>
      </w:r>
      <w:r>
        <w:rPr>
          <w:rFonts w:hint="eastAsia"/>
        </w:rPr>
        <w:t>年，第</w:t>
      </w:r>
      <w:r>
        <w:rPr>
          <w:rFonts w:hint="eastAsia"/>
        </w:rPr>
        <w:t>118</w:t>
      </w:r>
      <w:r>
        <w:rPr>
          <w:rFonts w:hint="eastAsia"/>
        </w:rPr>
        <w:t>页。</w:t>
      </w:r>
    </w:p>
    <w:p w14:paraId="6540BB67" w14:textId="77777777" w:rsidR="002D2103" w:rsidRDefault="002D2103" w:rsidP="002D2103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4</w:t>
      </w:r>
      <w:r>
        <w:rPr>
          <w:rFonts w:hint="eastAsia"/>
        </w:rPr>
        <w:t>）外文注释：</w:t>
      </w:r>
    </w:p>
    <w:p w14:paraId="7F624105" w14:textId="77777777" w:rsidR="002D2103" w:rsidRDefault="002D2103" w:rsidP="002D2103">
      <w:pPr>
        <w:widowControl/>
        <w:spacing w:line="360" w:lineRule="exact"/>
        <w:ind w:firstLineChars="200" w:firstLine="420"/>
        <w:rPr>
          <w:rFonts w:eastAsia="方正书宋_GBK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（</w:t>
      </w:r>
      <w:r>
        <w:rPr>
          <w:rFonts w:eastAsia="方正书宋_GBK"/>
          <w:color w:val="000000"/>
          <w:kern w:val="0"/>
          <w:szCs w:val="21"/>
          <w:u w:color="000000"/>
        </w:rPr>
        <w:t>1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）专著</w:t>
      </w:r>
    </w:p>
    <w:p w14:paraId="77655E84" w14:textId="77777777" w:rsidR="002D2103" w:rsidRDefault="002D2103" w:rsidP="002D2103">
      <w:pPr>
        <w:widowControl/>
        <w:spacing w:line="360" w:lineRule="exact"/>
        <w:ind w:firstLineChars="200" w:firstLine="420"/>
        <w:rPr>
          <w:rFonts w:eastAsia="方正书宋_GBK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标注顺序：</w:t>
      </w:r>
      <w:r>
        <w:rPr>
          <w:rFonts w:ascii="EU-BX" w:eastAsia="EU-BX" w:hAnsi="EU-BX" w:cs="EU-BX" w:hint="eastAsia"/>
          <w:color w:val="000000"/>
          <w:kern w:val="0"/>
          <w:szCs w:val="21"/>
          <w:u w:color="000000"/>
        </w:rPr>
        <w:t>责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任者与</w:t>
      </w:r>
      <w:r>
        <w:rPr>
          <w:rFonts w:ascii="EU-BX" w:eastAsia="EU-BX" w:hAnsi="EU-BX" w:cs="EU-BX" w:hint="eastAsia"/>
          <w:color w:val="000000"/>
          <w:kern w:val="0"/>
          <w:szCs w:val="21"/>
          <w:u w:color="000000"/>
        </w:rPr>
        <w:t>责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任方式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文献题名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出版地点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出版者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出版时间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页码。文献题名用斜体，出版地点后用英文冒号，其余各标注项目之间，用英文逗点隔开，下同。</w:t>
      </w:r>
    </w:p>
    <w:p w14:paraId="06E7D7FB" w14:textId="77777777" w:rsidR="002D2103" w:rsidRDefault="002D2103" w:rsidP="002D2103">
      <w:pPr>
        <w:widowControl/>
        <w:spacing w:line="360" w:lineRule="exact"/>
        <w:ind w:firstLineChars="200" w:firstLine="420"/>
        <w:rPr>
          <w:rFonts w:eastAsia="方正书宋_GBK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示例：</w:t>
      </w:r>
    </w:p>
    <w:p w14:paraId="07556C90" w14:textId="77777777" w:rsidR="002D2103" w:rsidRDefault="002D2103" w:rsidP="002D2103">
      <w:pPr>
        <w:widowControl/>
        <w:spacing w:line="360" w:lineRule="exact"/>
        <w:ind w:firstLineChars="200" w:firstLine="420"/>
        <w:rPr>
          <w:rFonts w:eastAsia="方正书宋_GBK"/>
          <w:color w:val="000000"/>
          <w:kern w:val="0"/>
          <w:szCs w:val="21"/>
          <w:u w:color="000000"/>
        </w:rPr>
      </w:pPr>
      <w:r>
        <w:rPr>
          <w:rFonts w:eastAsia="方正书宋_GBK"/>
          <w:color w:val="000000"/>
          <w:kern w:val="0"/>
          <w:szCs w:val="21"/>
          <w:u w:color="000000"/>
        </w:rPr>
        <w:t xml:space="preserve">Peter Brooks, </w:t>
      </w:r>
      <w:r>
        <w:rPr>
          <w:rFonts w:eastAsia="方正书宋_GBK"/>
          <w:i/>
          <w:iCs/>
          <w:color w:val="000000"/>
          <w:kern w:val="0"/>
          <w:szCs w:val="21"/>
          <w:u w:color="000000"/>
        </w:rPr>
        <w:t>Troubling Confessions: Speaking Guilt in Law and Literature</w:t>
      </w:r>
      <w:r>
        <w:rPr>
          <w:rFonts w:eastAsia="方正书宋_GBK"/>
          <w:color w:val="000000"/>
          <w:kern w:val="0"/>
          <w:szCs w:val="21"/>
          <w:u w:color="000000"/>
        </w:rPr>
        <w:t>, Chicago: University of Chicago Press, 2000, p.48.</w:t>
      </w:r>
    </w:p>
    <w:p w14:paraId="73328283" w14:textId="77777777" w:rsidR="002D2103" w:rsidRDefault="002D2103" w:rsidP="002D2103">
      <w:pPr>
        <w:widowControl/>
        <w:spacing w:line="360" w:lineRule="exact"/>
        <w:ind w:firstLineChars="200" w:firstLine="420"/>
        <w:rPr>
          <w:rFonts w:eastAsia="方正书宋_GBK"/>
          <w:color w:val="000000"/>
          <w:kern w:val="0"/>
          <w:szCs w:val="21"/>
          <w:u w:color="000000"/>
        </w:rPr>
      </w:pPr>
      <w:r>
        <w:rPr>
          <w:rFonts w:eastAsia="方正书宋_GBK"/>
          <w:color w:val="000000"/>
          <w:kern w:val="0"/>
          <w:szCs w:val="21"/>
          <w:u w:color="000000"/>
        </w:rPr>
        <w:t xml:space="preserve">Randolph </w:t>
      </w:r>
      <w:proofErr w:type="spellStart"/>
      <w:r>
        <w:rPr>
          <w:rFonts w:eastAsia="方正书宋_GBK"/>
          <w:color w:val="000000"/>
          <w:kern w:val="0"/>
          <w:szCs w:val="21"/>
          <w:u w:color="000000"/>
        </w:rPr>
        <w:t>Starn</w:t>
      </w:r>
      <w:proofErr w:type="spellEnd"/>
      <w:r>
        <w:rPr>
          <w:rFonts w:eastAsia="方正书宋_GBK"/>
          <w:color w:val="000000"/>
          <w:kern w:val="0"/>
          <w:szCs w:val="21"/>
          <w:u w:color="000000"/>
        </w:rPr>
        <w:t xml:space="preserve"> and Loren Partridge, </w:t>
      </w:r>
      <w:r>
        <w:rPr>
          <w:rFonts w:eastAsia="方正书宋_GBK"/>
          <w:i/>
          <w:iCs/>
          <w:color w:val="000000"/>
          <w:kern w:val="0"/>
          <w:szCs w:val="21"/>
          <w:u w:color="000000"/>
        </w:rPr>
        <w:t>The Arts of Power: Three Halls of State in Italy, 1300-1600</w:t>
      </w:r>
      <w:r>
        <w:rPr>
          <w:rFonts w:eastAsia="方正书宋_GBK"/>
          <w:color w:val="000000"/>
          <w:kern w:val="0"/>
          <w:szCs w:val="21"/>
          <w:u w:color="000000"/>
        </w:rPr>
        <w:t>, Berkeley: California University Press, 1992, pp.19-28.</w:t>
      </w:r>
    </w:p>
    <w:p w14:paraId="73C5D040" w14:textId="77777777" w:rsidR="002D2103" w:rsidRDefault="002D2103" w:rsidP="002D2103">
      <w:pPr>
        <w:widowControl/>
        <w:spacing w:line="360" w:lineRule="exact"/>
        <w:ind w:firstLineChars="200" w:firstLine="420"/>
        <w:rPr>
          <w:rFonts w:eastAsia="方正书宋_GBK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（</w:t>
      </w:r>
      <w:r>
        <w:rPr>
          <w:rFonts w:eastAsia="方正书宋_GBK"/>
          <w:color w:val="000000"/>
          <w:kern w:val="0"/>
          <w:szCs w:val="21"/>
          <w:u w:color="000000"/>
        </w:rPr>
        <w:t>2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）</w:t>
      </w:r>
      <w:r>
        <w:rPr>
          <w:rFonts w:ascii="EU-BX" w:eastAsia="EU-BX" w:hAnsi="EU-BX" w:cs="EU-BX" w:hint="eastAsia"/>
          <w:color w:val="000000"/>
          <w:kern w:val="0"/>
          <w:szCs w:val="21"/>
          <w:u w:color="000000"/>
        </w:rPr>
        <w:t>译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著</w:t>
      </w:r>
      <w:r>
        <w:rPr>
          <w:rFonts w:eastAsia="方正书宋_GBK"/>
          <w:color w:val="000000"/>
          <w:kern w:val="0"/>
          <w:szCs w:val="21"/>
          <w:u w:color="000000"/>
        </w:rPr>
        <w:t xml:space="preserve"> </w:t>
      </w:r>
    </w:p>
    <w:p w14:paraId="06D3206A" w14:textId="77777777" w:rsidR="002D2103" w:rsidRDefault="002D2103" w:rsidP="002D2103">
      <w:pPr>
        <w:widowControl/>
        <w:spacing w:line="360" w:lineRule="exact"/>
        <w:ind w:firstLineChars="200" w:firstLine="420"/>
        <w:rPr>
          <w:rFonts w:eastAsia="方正书宋_GBK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标注顺序：</w:t>
      </w:r>
      <w:r>
        <w:rPr>
          <w:rFonts w:ascii="EU-BX" w:eastAsia="EU-BX" w:hAnsi="EU-BX" w:cs="EU-BX" w:hint="eastAsia"/>
          <w:color w:val="000000"/>
          <w:kern w:val="0"/>
          <w:szCs w:val="21"/>
          <w:u w:color="000000"/>
        </w:rPr>
        <w:t>责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任者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文献题名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eastAsia="方正书宋_GBK" w:hint="eastAsia"/>
          <w:color w:val="000000"/>
          <w:kern w:val="0"/>
          <w:szCs w:val="21"/>
          <w:u w:color="000000"/>
        </w:rPr>
        <w:t>译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者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出版地点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出版者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出版时间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页码。</w:t>
      </w:r>
    </w:p>
    <w:p w14:paraId="6C8F2B0B" w14:textId="77777777" w:rsidR="002D2103" w:rsidRDefault="002D2103" w:rsidP="002D2103">
      <w:pPr>
        <w:widowControl/>
        <w:spacing w:line="360" w:lineRule="exact"/>
        <w:ind w:firstLineChars="200" w:firstLine="420"/>
        <w:rPr>
          <w:rFonts w:eastAsia="方正书宋_GBK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示例：</w:t>
      </w:r>
    </w:p>
    <w:p w14:paraId="4B73291A" w14:textId="77777777" w:rsidR="002D2103" w:rsidRDefault="002D2103" w:rsidP="002D2103">
      <w:pPr>
        <w:widowControl/>
        <w:spacing w:line="360" w:lineRule="exact"/>
        <w:ind w:firstLineChars="200" w:firstLine="420"/>
        <w:rPr>
          <w:rFonts w:eastAsia="方正书宋_GBK"/>
          <w:color w:val="000000"/>
          <w:kern w:val="0"/>
          <w:szCs w:val="21"/>
          <w:u w:color="000000"/>
        </w:rPr>
      </w:pPr>
      <w:r>
        <w:rPr>
          <w:rFonts w:eastAsia="方正书宋_GBK"/>
          <w:color w:val="000000"/>
          <w:kern w:val="0"/>
          <w:szCs w:val="21"/>
          <w:u w:color="000000"/>
        </w:rPr>
        <w:t xml:space="preserve">M. Polo, </w:t>
      </w:r>
      <w:r>
        <w:rPr>
          <w:rFonts w:eastAsia="方正书宋_GBK"/>
          <w:i/>
          <w:iCs/>
          <w:color w:val="000000"/>
          <w:kern w:val="0"/>
          <w:szCs w:val="21"/>
          <w:u w:color="000000"/>
        </w:rPr>
        <w:t>The Travels of Marco Polo</w:t>
      </w:r>
      <w:r>
        <w:rPr>
          <w:rFonts w:eastAsia="方正书宋_GBK"/>
          <w:color w:val="000000"/>
          <w:kern w:val="0"/>
          <w:szCs w:val="21"/>
          <w:u w:color="000000"/>
        </w:rPr>
        <w:t>, trans. by William Marsden, Hertfordshire: Cumberland House,1997, pp.55, 88.</w:t>
      </w:r>
    </w:p>
    <w:p w14:paraId="1BFC97B3" w14:textId="77777777" w:rsidR="002D2103" w:rsidRDefault="002D2103" w:rsidP="002D2103">
      <w:pPr>
        <w:widowControl/>
        <w:spacing w:line="360" w:lineRule="exact"/>
        <w:ind w:firstLineChars="200" w:firstLine="420"/>
        <w:rPr>
          <w:rFonts w:eastAsia="方正书宋_GBK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（</w:t>
      </w:r>
      <w:r>
        <w:rPr>
          <w:rFonts w:eastAsia="方正书宋_GBK"/>
          <w:color w:val="000000"/>
          <w:kern w:val="0"/>
          <w:szCs w:val="21"/>
          <w:u w:color="000000"/>
        </w:rPr>
        <w:t>3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）期刊析出文献</w:t>
      </w:r>
    </w:p>
    <w:p w14:paraId="44546BEB" w14:textId="77777777" w:rsidR="002D2103" w:rsidRDefault="002D2103" w:rsidP="002D2103">
      <w:pPr>
        <w:widowControl/>
        <w:spacing w:line="360" w:lineRule="exact"/>
        <w:ind w:firstLineChars="200" w:firstLine="420"/>
        <w:rPr>
          <w:rFonts w:eastAsia="方正书宋_GBK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标注顺序：</w:t>
      </w:r>
      <w:r>
        <w:rPr>
          <w:rFonts w:ascii="EU-BX" w:eastAsia="EU-BX" w:hAnsi="EU-BX" w:cs="EU-BX" w:hint="eastAsia"/>
          <w:color w:val="000000"/>
          <w:kern w:val="0"/>
          <w:szCs w:val="21"/>
          <w:u w:color="000000"/>
        </w:rPr>
        <w:t>责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任者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析出文献题名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期刊名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卷册及出版时间</w:t>
      </w:r>
      <w:r>
        <w:rPr>
          <w:rFonts w:eastAsia="方正书宋_GBK"/>
          <w:color w:val="000000"/>
          <w:kern w:val="0"/>
          <w:szCs w:val="21"/>
          <w:u w:color="000000"/>
        </w:rPr>
        <w:t>/</w:t>
      </w: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页码。析出文献题名用英文引号标识，期刊名用斜体，下同。</w:t>
      </w:r>
    </w:p>
    <w:p w14:paraId="75BCF18E" w14:textId="77777777" w:rsidR="002D2103" w:rsidRDefault="002D2103" w:rsidP="002D2103">
      <w:pPr>
        <w:widowControl/>
        <w:spacing w:line="360" w:lineRule="exact"/>
        <w:ind w:firstLineChars="200" w:firstLine="420"/>
        <w:rPr>
          <w:rFonts w:eastAsia="方正书宋_GBK"/>
          <w:color w:val="000000"/>
          <w:kern w:val="0"/>
          <w:szCs w:val="21"/>
          <w:u w:color="000000"/>
        </w:rPr>
      </w:pPr>
      <w:r>
        <w:rPr>
          <w:rFonts w:ascii="宋体" w:hAnsi="宋体" w:cs="宋体" w:hint="eastAsia"/>
          <w:color w:val="000000"/>
          <w:kern w:val="0"/>
          <w:szCs w:val="21"/>
          <w:u w:color="000000"/>
        </w:rPr>
        <w:t>示例：</w:t>
      </w:r>
    </w:p>
    <w:p w14:paraId="6C8BD6F5" w14:textId="77777777" w:rsidR="002D2103" w:rsidRDefault="002D2103" w:rsidP="002D2103">
      <w:pPr>
        <w:widowControl/>
        <w:spacing w:line="360" w:lineRule="exact"/>
        <w:ind w:firstLineChars="200" w:firstLine="420"/>
        <w:rPr>
          <w:rFonts w:eastAsia="方正书宋_GBK"/>
          <w:color w:val="000000"/>
          <w:kern w:val="0"/>
          <w:szCs w:val="21"/>
          <w:u w:color="000000"/>
        </w:rPr>
      </w:pPr>
      <w:r>
        <w:rPr>
          <w:rFonts w:eastAsia="方正书宋_GBK"/>
          <w:color w:val="000000"/>
          <w:kern w:val="0"/>
          <w:szCs w:val="21"/>
          <w:u w:color="000000"/>
        </w:rPr>
        <w:t xml:space="preserve">Heath B. Chamberlain, “On the Search for Civil Society in China,” </w:t>
      </w:r>
      <w:r>
        <w:rPr>
          <w:rFonts w:eastAsia="方正书宋_GBK"/>
          <w:i/>
          <w:iCs/>
          <w:color w:val="000000"/>
          <w:kern w:val="0"/>
          <w:szCs w:val="21"/>
          <w:u w:color="000000"/>
        </w:rPr>
        <w:t>Modern China</w:t>
      </w:r>
      <w:r>
        <w:rPr>
          <w:rFonts w:eastAsia="方正书宋_GBK"/>
          <w:color w:val="000000"/>
          <w:kern w:val="0"/>
          <w:szCs w:val="21"/>
          <w:u w:color="000000"/>
        </w:rPr>
        <w:t>, vol. 19, no. 2 (April 1993), pp.199-215.</w:t>
      </w:r>
    </w:p>
    <w:p w14:paraId="57E87047" w14:textId="77777777" w:rsidR="009724C9" w:rsidRPr="002D2103" w:rsidRDefault="009724C9"/>
    <w:sectPr w:rsidR="009724C9" w:rsidRPr="002D2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EU-BX">
    <w:altName w:val="宋体"/>
    <w:charset w:val="7A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03"/>
    <w:rsid w:val="002D2103"/>
    <w:rsid w:val="0097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FF20B"/>
  <w15:chartTrackingRefBased/>
  <w15:docId w15:val="{C7F3C1BA-6F26-4304-B327-D36D685E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1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yysj07</dc:creator>
  <cp:keywords/>
  <dc:description/>
  <cp:lastModifiedBy>yysj07</cp:lastModifiedBy>
  <cp:revision>1</cp:revision>
  <dcterms:created xsi:type="dcterms:W3CDTF">2021-08-13T05:23:00Z</dcterms:created>
  <dcterms:modified xsi:type="dcterms:W3CDTF">2021-08-13T05:23:00Z</dcterms:modified>
</cp:coreProperties>
</file>